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EF00" w14:textId="618BC8ED" w:rsidR="00E940D2" w:rsidRPr="00A86EE5" w:rsidRDefault="00A56CB4" w:rsidP="00A86EE5">
      <w:pPr>
        <w:pStyle w:val="Heading1"/>
        <w:jc w:val="center"/>
        <w:rPr>
          <w:b/>
          <w:bCs/>
          <w:color w:val="000000" w:themeColor="text1"/>
          <w:lang w:val="en-GB"/>
        </w:rPr>
      </w:pPr>
      <w:r w:rsidRPr="00A86EE5">
        <w:rPr>
          <w:b/>
          <w:bCs/>
          <w:color w:val="000000" w:themeColor="text1"/>
          <w:lang w:val="en-GB"/>
        </w:rPr>
        <w:t>The EHP Visit: What to Expect and What You Are Entitled To</w:t>
      </w:r>
    </w:p>
    <w:p w14:paraId="02BC7501" w14:textId="0B5059E9" w:rsidR="002B7E3D" w:rsidRPr="00A56CB4" w:rsidRDefault="002B7E3D" w:rsidP="00A86EE5">
      <w:pPr>
        <w:spacing w:line="240" w:lineRule="auto"/>
        <w:jc w:val="both"/>
        <w:rPr>
          <w:lang w:val="en-GB"/>
        </w:rPr>
      </w:pPr>
      <w:r w:rsidRPr="00A56CB4">
        <w:rPr>
          <w:lang w:val="en-GB"/>
        </w:rPr>
        <w:t xml:space="preserve">Across South Africa, millions of children are cared for in ECD centres that operate outside the formal system. Many provide essential care and early learning in communities where few alternatives exist. Because they are not registered, they do not receive government support, and the conditions in which children are cared for are not consistently assessed or improved. The Bana Pele Mass Registration Drive exists to change this. It brings centres into the system so that conditions can be evaluated, risks reduced, and support delivered. Registration is not the </w:t>
      </w:r>
      <w:proofErr w:type="gramStart"/>
      <w:r w:rsidRPr="00A56CB4">
        <w:rPr>
          <w:lang w:val="en-GB"/>
        </w:rPr>
        <w:t>ultimate goal</w:t>
      </w:r>
      <w:proofErr w:type="gramEnd"/>
      <w:r w:rsidRPr="00A56CB4">
        <w:rPr>
          <w:lang w:val="en-GB"/>
        </w:rPr>
        <w:t>. It is the starting point for support, oversight, and ongoing improvement.</w:t>
      </w:r>
    </w:p>
    <w:p w14:paraId="12E15140" w14:textId="77777777" w:rsidR="002B7E3D" w:rsidRPr="00A56CB4" w:rsidRDefault="002B7E3D" w:rsidP="00A86EE5">
      <w:pPr>
        <w:spacing w:line="240" w:lineRule="auto"/>
        <w:jc w:val="both"/>
        <w:rPr>
          <w:lang w:val="en-GB"/>
        </w:rPr>
      </w:pPr>
      <w:r w:rsidRPr="00A56CB4">
        <w:rPr>
          <w:lang w:val="en-GB"/>
        </w:rPr>
        <w:t xml:space="preserve">Different parts of government carry different responsibilities in this process. The Department of Basic Education (DBE) administers registration through its social workers and the </w:t>
      </w:r>
      <w:proofErr w:type="spellStart"/>
      <w:r w:rsidRPr="00A56CB4">
        <w:rPr>
          <w:lang w:val="en-GB"/>
        </w:rPr>
        <w:t>eCares</w:t>
      </w:r>
      <w:proofErr w:type="spellEnd"/>
      <w:r w:rsidRPr="00A56CB4">
        <w:rPr>
          <w:lang w:val="en-GB"/>
        </w:rPr>
        <w:t xml:space="preserve"> system. The Department of Health sets the environmental health norms and standards that ECD centres must work toward. Municipalities implement environmental health services on the ground through Environmental Health Practitioners (EHPs). An EHP visit is not a registration decision. It is an environmental health assessment. The DBE social worker and the provincial registration authority make the registration decision. Understanding who does what protects you from being given requirements that go beyond what any one of these parties is </w:t>
      </w:r>
      <w:proofErr w:type="gramStart"/>
      <w:r w:rsidRPr="00A56CB4">
        <w:rPr>
          <w:lang w:val="en-GB"/>
        </w:rPr>
        <w:t>actually authorised</w:t>
      </w:r>
      <w:proofErr w:type="gramEnd"/>
      <w:r w:rsidRPr="00A56CB4">
        <w:rPr>
          <w:lang w:val="en-GB"/>
        </w:rPr>
        <w:t xml:space="preserve"> to demand.</w:t>
      </w:r>
    </w:p>
    <w:p w14:paraId="68F6CC55" w14:textId="77777777" w:rsidR="002B7E3D" w:rsidRPr="00A56CB4" w:rsidRDefault="002B7E3D" w:rsidP="00A86EE5">
      <w:pPr>
        <w:spacing w:line="240" w:lineRule="auto"/>
        <w:jc w:val="both"/>
        <w:rPr>
          <w:lang w:val="en-GB"/>
        </w:rPr>
      </w:pPr>
      <w:r w:rsidRPr="00A56CB4">
        <w:rPr>
          <w:lang w:val="en-GB"/>
        </w:rPr>
        <w:t>An EHP is a municipal official whose job, in the ECD context, is to assess whether the place where children are cared for is safe from environmental health risks. They look at water, sanitation, hygiene, food safety, waste management, ventilation, overcrowding, exposure to hazards, and the general conditions affecting child health.</w:t>
      </w:r>
    </w:p>
    <w:p w14:paraId="4CD6C3F1" w14:textId="5F09BFAE" w:rsidR="00F408BA" w:rsidRPr="00A56CB4" w:rsidRDefault="002B7E3D" w:rsidP="00A86EE5">
      <w:pPr>
        <w:spacing w:line="240" w:lineRule="auto"/>
        <w:jc w:val="both"/>
        <w:rPr>
          <w:lang w:val="en-GB"/>
        </w:rPr>
      </w:pPr>
      <w:r w:rsidRPr="00A56CB4">
        <w:rPr>
          <w:lang w:val="en-GB"/>
        </w:rPr>
        <w:t>It does not matter whether your centre looks formal or informal. The central question an EHP must ask is whether the environmental conditions are safe enough for children and what must be done to make them safer. A centre in a modest house with ten children may be healthier and safer than a large formal building with poor sanitation or unsafe food handling. EHPs are expected to assess actual risk, not only visible formality.</w:t>
      </w:r>
    </w:p>
    <w:tbl>
      <w:tblPr>
        <w:tblStyle w:val="TableGrid"/>
        <w:tblW w:w="0" w:type="auto"/>
        <w:tblBorders>
          <w:top w:val="single" w:sz="24" w:space="0" w:color="3A7C22" w:themeColor="accent6" w:themeShade="BF"/>
          <w:left w:val="single" w:sz="24" w:space="0" w:color="3A7C22" w:themeColor="accent6" w:themeShade="BF"/>
          <w:bottom w:val="single" w:sz="24" w:space="0" w:color="3A7C22" w:themeColor="accent6" w:themeShade="BF"/>
          <w:right w:val="single" w:sz="24" w:space="0" w:color="3A7C22" w:themeColor="accent6" w:themeShade="BF"/>
          <w:insideH w:val="single" w:sz="24" w:space="0" w:color="3A7C22" w:themeColor="accent6" w:themeShade="BF"/>
          <w:insideV w:val="single" w:sz="24" w:space="0" w:color="3A7C22" w:themeColor="accent6" w:themeShade="BF"/>
        </w:tblBorders>
        <w:shd w:val="clear" w:color="auto" w:fill="B3E5A1" w:themeFill="accent6" w:themeFillTint="66"/>
        <w:tblLook w:val="04A0" w:firstRow="1" w:lastRow="0" w:firstColumn="1" w:lastColumn="0" w:noHBand="0" w:noVBand="1"/>
      </w:tblPr>
      <w:tblGrid>
        <w:gridCol w:w="9300"/>
      </w:tblGrid>
      <w:tr w:rsidR="002B7E3D" w:rsidRPr="00A56CB4" w14:paraId="295F0BD4" w14:textId="77777777" w:rsidTr="00A56CB4">
        <w:tc>
          <w:tcPr>
            <w:tcW w:w="9350" w:type="dxa"/>
            <w:shd w:val="clear" w:color="auto" w:fill="B3E5A1" w:themeFill="accent6" w:themeFillTint="66"/>
          </w:tcPr>
          <w:p w14:paraId="30341D98" w14:textId="77777777" w:rsidR="00A56CB4" w:rsidRDefault="00A56CB4" w:rsidP="002B7E3D">
            <w:pPr>
              <w:rPr>
                <w:rFonts w:ascii="Arial" w:eastAsia="Arial" w:hAnsi="Arial" w:cs="Arial"/>
                <w:color w:val="1A1A1A"/>
                <w:sz w:val="21"/>
                <w:szCs w:val="21"/>
                <w:lang w:val="en-GB"/>
              </w:rPr>
            </w:pPr>
          </w:p>
          <w:p w14:paraId="18F79AE2" w14:textId="4AA828DA" w:rsidR="002B7E3D" w:rsidRPr="00A56CB4" w:rsidRDefault="002B7E3D" w:rsidP="002B7E3D">
            <w:pPr>
              <w:rPr>
                <w:lang w:val="en-GB"/>
              </w:rPr>
            </w:pPr>
            <w:r w:rsidRPr="00A56CB4">
              <w:rPr>
                <w:rFonts w:ascii="Arial" w:eastAsia="Arial" w:hAnsi="Arial" w:cs="Arial"/>
                <w:color w:val="1A1A1A"/>
                <w:sz w:val="21"/>
                <w:szCs w:val="21"/>
                <w:lang w:val="en-GB"/>
              </w:rPr>
              <w:t>An EHP visit is not a pass-or-fail test. It is a structured assessment that identifies what is dangerous now, what can be improved over time, what you are already doing well, and what the next steps are. A good EHP visit leaves you knowing exactly where you stand and what to do next.</w:t>
            </w:r>
          </w:p>
          <w:p w14:paraId="4938F6C0" w14:textId="77777777" w:rsidR="002B7E3D" w:rsidRPr="00A56CB4" w:rsidRDefault="002B7E3D" w:rsidP="002B7E3D">
            <w:pPr>
              <w:rPr>
                <w:lang w:val="en-GB"/>
              </w:rPr>
            </w:pPr>
          </w:p>
        </w:tc>
      </w:tr>
    </w:tbl>
    <w:p w14:paraId="3D1C2CBA" w14:textId="77777777" w:rsidR="002B7E3D" w:rsidRPr="00A56CB4" w:rsidRDefault="002B7E3D" w:rsidP="002B7E3D">
      <w:pPr>
        <w:rPr>
          <w:lang w:val="en-GB"/>
        </w:rPr>
      </w:pPr>
    </w:p>
    <w:p w14:paraId="21193EF7" w14:textId="52ABF00A" w:rsidR="002B7E3D" w:rsidRPr="00A86EE5" w:rsidRDefault="00A56CB4" w:rsidP="00A56CB4">
      <w:pPr>
        <w:pStyle w:val="Heading1"/>
        <w:jc w:val="both"/>
        <w:rPr>
          <w:b/>
          <w:bCs/>
          <w:color w:val="000000" w:themeColor="text1"/>
          <w:sz w:val="36"/>
          <w:szCs w:val="36"/>
          <w:lang w:val="en-GB"/>
        </w:rPr>
      </w:pPr>
      <w:r w:rsidRPr="00A86EE5">
        <w:rPr>
          <w:b/>
          <w:bCs/>
          <w:color w:val="000000" w:themeColor="text1"/>
          <w:sz w:val="36"/>
          <w:szCs w:val="36"/>
          <w:lang w:val="en-GB"/>
        </w:rPr>
        <w:lastRenderedPageBreak/>
        <w:t xml:space="preserve">2. </w:t>
      </w:r>
      <w:r w:rsidR="002B7E3D" w:rsidRPr="00A86EE5">
        <w:rPr>
          <w:b/>
          <w:bCs/>
          <w:color w:val="000000" w:themeColor="text1"/>
          <w:sz w:val="36"/>
          <w:szCs w:val="36"/>
          <w:lang w:val="en-GB"/>
        </w:rPr>
        <w:t>WHAT AN EHP MUST DO ON EVERY VISIT</w:t>
      </w:r>
    </w:p>
    <w:p w14:paraId="7FB3CAA1" w14:textId="58707F0A" w:rsidR="002B7E3D" w:rsidRPr="00A56CB4" w:rsidRDefault="002B7E3D" w:rsidP="00A86EE5">
      <w:pPr>
        <w:spacing w:line="240" w:lineRule="auto"/>
        <w:jc w:val="both"/>
        <w:rPr>
          <w:lang w:val="en-GB"/>
        </w:rPr>
      </w:pPr>
      <w:r w:rsidRPr="00A56CB4">
        <w:rPr>
          <w:lang w:val="en-GB"/>
        </w:rPr>
        <w:t>The 2025 National Environmental Health Norms and Standards (Department of Health) and the Bana Pele framework set clear expectations for how an EHP must conduct their work. These are not suggestions. They are the standards by which an EHP's professional conduct is measured.</w:t>
      </w:r>
    </w:p>
    <w:p w14:paraId="32505F39" w14:textId="6EC6975E" w:rsidR="002B7E3D" w:rsidRPr="00A56CB4" w:rsidRDefault="002B7E3D" w:rsidP="00A86EE5">
      <w:pPr>
        <w:spacing w:line="240" w:lineRule="auto"/>
        <w:jc w:val="both"/>
        <w:rPr>
          <w:b/>
          <w:bCs/>
          <w:lang w:val="en-GB"/>
        </w:rPr>
      </w:pPr>
      <w:r w:rsidRPr="00A56CB4">
        <w:rPr>
          <w:b/>
          <w:bCs/>
          <w:lang w:val="en-GB"/>
        </w:rPr>
        <w:t>Childcare centres must be inspected at least o</w:t>
      </w:r>
      <w:r w:rsidRPr="00A56CB4">
        <w:rPr>
          <w:b/>
          <w:bCs/>
          <w:lang w:val="en-GB"/>
        </w:rPr>
        <w:t>nce every</w:t>
      </w:r>
      <w:r w:rsidR="0081152F" w:rsidRPr="00A56CB4">
        <w:rPr>
          <w:b/>
          <w:bCs/>
          <w:lang w:val="en-GB"/>
        </w:rPr>
        <w:t xml:space="preserve"> three months</w:t>
      </w:r>
      <w:r w:rsidRPr="00A56CB4">
        <w:rPr>
          <w:b/>
          <w:bCs/>
          <w:lang w:val="en-GB"/>
        </w:rPr>
        <w:t>.</w:t>
      </w:r>
    </w:p>
    <w:p w14:paraId="539B7E75" w14:textId="53A9F133" w:rsidR="002B7E3D" w:rsidRPr="00A56CB4" w:rsidRDefault="002B7E3D" w:rsidP="00A86EE5">
      <w:pPr>
        <w:spacing w:line="240" w:lineRule="auto"/>
        <w:jc w:val="both"/>
        <w:rPr>
          <w:lang w:val="en-GB"/>
        </w:rPr>
      </w:pPr>
      <w:r w:rsidRPr="00A56CB4">
        <w:rPr>
          <w:lang w:val="en-GB"/>
        </w:rPr>
        <w:t>That is a minimum of four visits per year. Higher-risk centres may be visited more frequently. If your centre has gone many months without a visit, you can ask your municipality's environmental health unit to schedule one.</w:t>
      </w:r>
    </w:p>
    <w:p w14:paraId="6CA5D44D" w14:textId="39971BB4" w:rsidR="002B7E3D" w:rsidRPr="00A56CB4" w:rsidRDefault="002B7E3D" w:rsidP="00A86EE5">
      <w:pPr>
        <w:spacing w:line="240" w:lineRule="auto"/>
        <w:jc w:val="both"/>
        <w:rPr>
          <w:b/>
          <w:bCs/>
          <w:lang w:val="en-GB"/>
        </w:rPr>
      </w:pPr>
      <w:r w:rsidRPr="00A56CB4">
        <w:rPr>
          <w:b/>
          <w:bCs/>
          <w:lang w:val="en-GB"/>
        </w:rPr>
        <w:t>The EHP must classify risks, not just list problems.</w:t>
      </w:r>
    </w:p>
    <w:p w14:paraId="116A397F" w14:textId="77777777" w:rsidR="0081152F" w:rsidRPr="00A56CB4" w:rsidRDefault="002B7E3D" w:rsidP="00A86EE5">
      <w:pPr>
        <w:spacing w:line="240" w:lineRule="auto"/>
        <w:jc w:val="both"/>
        <w:rPr>
          <w:lang w:val="en-GB"/>
        </w:rPr>
      </w:pPr>
      <w:r w:rsidRPr="00A56CB4">
        <w:rPr>
          <w:lang w:val="en-GB"/>
        </w:rPr>
        <w:t>Every finding must be classified as high, moderate, or low risk. This matters for you because it determines how urgently something must be fixed and what a reasonable timeframe for improvement looks like.</w:t>
      </w:r>
    </w:p>
    <w:p w14:paraId="3AA0E6DE" w14:textId="77777777" w:rsidR="0081152F" w:rsidRPr="00A56CB4" w:rsidRDefault="002B7E3D" w:rsidP="00A86EE5">
      <w:pPr>
        <w:pStyle w:val="ListParagraph"/>
        <w:numPr>
          <w:ilvl w:val="0"/>
          <w:numId w:val="1"/>
        </w:numPr>
        <w:spacing w:line="240" w:lineRule="auto"/>
        <w:jc w:val="both"/>
        <w:rPr>
          <w:lang w:val="en-GB"/>
        </w:rPr>
      </w:pPr>
      <w:r w:rsidRPr="00A56CB4">
        <w:rPr>
          <w:b/>
          <w:bCs/>
          <w:color w:val="EE0000"/>
          <w:lang w:val="en-GB"/>
        </w:rPr>
        <w:t>High risk:</w:t>
      </w:r>
      <w:r w:rsidRPr="00A56CB4">
        <w:rPr>
          <w:color w:val="EE0000"/>
          <w:lang w:val="en-GB"/>
        </w:rPr>
        <w:t xml:space="preserve">  </w:t>
      </w:r>
      <w:r w:rsidRPr="00A56CB4">
        <w:rPr>
          <w:lang w:val="en-GB"/>
        </w:rPr>
        <w:t>an immediate threat to health or safety — must be corrected urgently. Examples: dangerous cooking setup, unsafe chemicals within reach of children, contaminated water, hazardous toilet opening.</w:t>
      </w:r>
    </w:p>
    <w:p w14:paraId="11B17DA1" w14:textId="77777777" w:rsidR="0081152F" w:rsidRPr="00A56CB4" w:rsidRDefault="002B7E3D" w:rsidP="00A86EE5">
      <w:pPr>
        <w:pStyle w:val="ListParagraph"/>
        <w:numPr>
          <w:ilvl w:val="0"/>
          <w:numId w:val="1"/>
        </w:numPr>
        <w:spacing w:line="240" w:lineRule="auto"/>
        <w:jc w:val="both"/>
        <w:rPr>
          <w:lang w:val="en-GB"/>
        </w:rPr>
      </w:pPr>
      <w:r w:rsidRPr="00A56CB4">
        <w:rPr>
          <w:b/>
          <w:bCs/>
          <w:color w:val="FFC000"/>
          <w:lang w:val="en-GB"/>
        </w:rPr>
        <w:t>Moderate risk:</w:t>
      </w:r>
      <w:r w:rsidRPr="00A56CB4">
        <w:rPr>
          <w:color w:val="FFC000"/>
          <w:lang w:val="en-GB"/>
        </w:rPr>
        <w:t xml:space="preserve">  </w:t>
      </w:r>
      <w:r w:rsidRPr="00A56CB4">
        <w:rPr>
          <w:lang w:val="en-GB"/>
        </w:rPr>
        <w:t>an important problem that requires correction soon, with a clear timeframe. Examples: poor handwashing setup, food stored on the floor, uncovered waste, overcrowding affecting ventilation.</w:t>
      </w:r>
    </w:p>
    <w:p w14:paraId="2DFC18F0" w14:textId="6E360448" w:rsidR="002B7E3D" w:rsidRPr="00A56CB4" w:rsidRDefault="002B7E3D" w:rsidP="00A86EE5">
      <w:pPr>
        <w:pStyle w:val="ListParagraph"/>
        <w:numPr>
          <w:ilvl w:val="0"/>
          <w:numId w:val="1"/>
        </w:numPr>
        <w:spacing w:line="240" w:lineRule="auto"/>
        <w:jc w:val="both"/>
        <w:rPr>
          <w:lang w:val="en-GB"/>
        </w:rPr>
      </w:pPr>
      <w:r w:rsidRPr="00A56CB4">
        <w:rPr>
          <w:b/>
          <w:bCs/>
          <w:color w:val="92D050"/>
          <w:lang w:val="en-GB"/>
        </w:rPr>
        <w:t>Low risk:</w:t>
      </w:r>
      <w:r w:rsidRPr="00A56CB4">
        <w:rPr>
          <w:color w:val="92D050"/>
          <w:lang w:val="en-GB"/>
        </w:rPr>
        <w:t xml:space="preserve">  </w:t>
      </w:r>
      <w:r w:rsidRPr="00A56CB4">
        <w:rPr>
          <w:lang w:val="en-GB"/>
        </w:rPr>
        <w:t>an issue that needs improvement but is not immediately dangerous — can be addressed over a longer period. Examples: minor maintenance, cosmetic defects, non-critical layout problems.</w:t>
      </w:r>
    </w:p>
    <w:p w14:paraId="568FD673" w14:textId="3B558069" w:rsidR="002B7E3D" w:rsidRPr="00A56CB4" w:rsidRDefault="002B7E3D" w:rsidP="002B7E3D">
      <w:pPr>
        <w:rPr>
          <w:b/>
          <w:bCs/>
          <w:lang w:val="en-GB"/>
        </w:rPr>
      </w:pPr>
      <w:r w:rsidRPr="00A56CB4">
        <w:rPr>
          <w:b/>
          <w:bCs/>
          <w:lang w:val="en-GB"/>
        </w:rPr>
        <w:t>The EHP must leave you with a written report after every visit.</w:t>
      </w:r>
    </w:p>
    <w:tbl>
      <w:tblPr>
        <w:tblStyle w:val="TableGrid"/>
        <w:tblW w:w="0" w:type="auto"/>
        <w:tblBorders>
          <w:top w:val="single" w:sz="24" w:space="0" w:color="3A7C22" w:themeColor="accent6" w:themeShade="BF"/>
          <w:left w:val="single" w:sz="24" w:space="0" w:color="3A7C22" w:themeColor="accent6" w:themeShade="BF"/>
          <w:bottom w:val="single" w:sz="24" w:space="0" w:color="3A7C22" w:themeColor="accent6" w:themeShade="BF"/>
          <w:right w:val="single" w:sz="24" w:space="0" w:color="3A7C22" w:themeColor="accent6" w:themeShade="BF"/>
          <w:insideH w:val="single" w:sz="24" w:space="0" w:color="3A7C22" w:themeColor="accent6" w:themeShade="BF"/>
          <w:insideV w:val="single" w:sz="24" w:space="0" w:color="3A7C22" w:themeColor="accent6" w:themeShade="BF"/>
        </w:tblBorders>
        <w:shd w:val="clear" w:color="auto" w:fill="B3E5A1" w:themeFill="accent6" w:themeFillTint="66"/>
        <w:tblLook w:val="04A0" w:firstRow="1" w:lastRow="0" w:firstColumn="1" w:lastColumn="0" w:noHBand="0" w:noVBand="1"/>
      </w:tblPr>
      <w:tblGrid>
        <w:gridCol w:w="9300"/>
      </w:tblGrid>
      <w:tr w:rsidR="00BF7D20" w:rsidRPr="00A56CB4" w14:paraId="37FB362F" w14:textId="77777777" w:rsidTr="00A56CB4">
        <w:tc>
          <w:tcPr>
            <w:tcW w:w="9350" w:type="dxa"/>
            <w:shd w:val="clear" w:color="auto" w:fill="B3E5A1" w:themeFill="accent6" w:themeFillTint="66"/>
          </w:tcPr>
          <w:p w14:paraId="238E85AF" w14:textId="77777777" w:rsidR="00BF7D20" w:rsidRPr="00A56CB4" w:rsidRDefault="00BF7D20" w:rsidP="00BF7D20">
            <w:pPr>
              <w:rPr>
                <w:rFonts w:ascii="Arial" w:eastAsia="Arial" w:hAnsi="Arial" w:cs="Arial"/>
                <w:color w:val="1A1A1A"/>
                <w:sz w:val="21"/>
                <w:szCs w:val="21"/>
                <w:lang w:val="en-GB"/>
              </w:rPr>
            </w:pPr>
          </w:p>
          <w:p w14:paraId="2DAB543B" w14:textId="77777777" w:rsidR="00BF7D20" w:rsidRPr="00A56CB4" w:rsidRDefault="00BF7D20" w:rsidP="00BF7D20">
            <w:pPr>
              <w:rPr>
                <w:rFonts w:ascii="Arial" w:eastAsia="Arial" w:hAnsi="Arial" w:cs="Arial"/>
                <w:color w:val="1A1A1A"/>
                <w:sz w:val="21"/>
                <w:szCs w:val="21"/>
                <w:lang w:val="en-GB"/>
              </w:rPr>
            </w:pPr>
            <w:r w:rsidRPr="00A56CB4">
              <w:rPr>
                <w:rFonts w:ascii="Arial" w:eastAsia="Arial" w:hAnsi="Arial" w:cs="Arial"/>
                <w:color w:val="1A1A1A"/>
                <w:sz w:val="21"/>
                <w:szCs w:val="21"/>
                <w:lang w:val="en-GB"/>
              </w:rPr>
              <w:t>This is a legal requirement under the 2025 NEHNS. An inspection report must be issued to the owner or person in charge of the premises after every inspection, outlining findings, recommendations, and areas requiring action. You are entitled to this report. If an EHP visits and leaves without giving you a written record of what they found, you can ask for it.</w:t>
            </w:r>
          </w:p>
          <w:p w14:paraId="5B110BB6" w14:textId="77777777" w:rsidR="00BF7D20" w:rsidRPr="00A56CB4" w:rsidRDefault="00BF7D20" w:rsidP="002B7E3D">
            <w:pPr>
              <w:rPr>
                <w:b/>
                <w:bCs/>
                <w:lang w:val="en-GB"/>
              </w:rPr>
            </w:pPr>
          </w:p>
        </w:tc>
      </w:tr>
    </w:tbl>
    <w:p w14:paraId="7512B3A0" w14:textId="77777777" w:rsidR="00A86EE5" w:rsidRDefault="00A86EE5" w:rsidP="00A86EE5">
      <w:pPr>
        <w:spacing w:line="240" w:lineRule="auto"/>
        <w:jc w:val="both"/>
        <w:rPr>
          <w:lang w:val="en-GB"/>
        </w:rPr>
      </w:pPr>
    </w:p>
    <w:p w14:paraId="68EA0CEB" w14:textId="6676C28E" w:rsidR="00BF7D20" w:rsidRPr="00A56CB4" w:rsidRDefault="00BF7D20" w:rsidP="00A86EE5">
      <w:pPr>
        <w:spacing w:line="240" w:lineRule="auto"/>
        <w:jc w:val="both"/>
        <w:rPr>
          <w:lang w:val="en-GB"/>
        </w:rPr>
      </w:pPr>
      <w:r w:rsidRPr="00A56CB4">
        <w:rPr>
          <w:lang w:val="en-GB"/>
        </w:rPr>
        <w:t>The report must be signed by the EHP. You should be given a copy to keep. That copy is part of your Silver Registration application, submitted alongside the DBE social worker assessment.</w:t>
      </w:r>
    </w:p>
    <w:p w14:paraId="3FA1A068" w14:textId="52EE599C" w:rsidR="00BF7D20" w:rsidRPr="00A56CB4" w:rsidRDefault="00BF7D20" w:rsidP="00A86EE5">
      <w:pPr>
        <w:spacing w:line="240" w:lineRule="auto"/>
        <w:rPr>
          <w:b/>
          <w:bCs/>
          <w:lang w:val="en-GB"/>
        </w:rPr>
      </w:pPr>
      <w:r w:rsidRPr="00A56CB4">
        <w:rPr>
          <w:b/>
          <w:bCs/>
          <w:lang w:val="en-GB"/>
        </w:rPr>
        <w:t>The EHP must also record what you are doing well.</w:t>
      </w:r>
    </w:p>
    <w:p w14:paraId="369389A0" w14:textId="77777777" w:rsidR="00BF7D20" w:rsidRPr="00A56CB4" w:rsidRDefault="00BF7D20" w:rsidP="00A86EE5">
      <w:pPr>
        <w:spacing w:line="240" w:lineRule="auto"/>
        <w:jc w:val="both"/>
        <w:rPr>
          <w:lang w:val="en-GB"/>
        </w:rPr>
      </w:pPr>
      <w:r w:rsidRPr="00A56CB4">
        <w:rPr>
          <w:lang w:val="en-GB"/>
        </w:rPr>
        <w:t xml:space="preserve">Inspection reports are not only about problems. If you have installed a handwashing bucket, fenced a dangerous area, moved chemicals out of reach, or created a cleaner cooking </w:t>
      </w:r>
      <w:r w:rsidRPr="00A56CB4">
        <w:rPr>
          <w:lang w:val="en-GB"/>
        </w:rPr>
        <w:lastRenderedPageBreak/>
        <w:t>space, that must be recorded. Developmental regulation depends on documenting improvement, not only failure.</w:t>
      </w:r>
    </w:p>
    <w:p w14:paraId="1CB5A28D" w14:textId="6195EEDB" w:rsidR="00BF7D20" w:rsidRPr="00A86EE5" w:rsidRDefault="00A86EE5" w:rsidP="00A56CB4">
      <w:pPr>
        <w:pStyle w:val="Heading1"/>
        <w:rPr>
          <w:b/>
          <w:bCs/>
          <w:color w:val="000000" w:themeColor="text1"/>
          <w:sz w:val="36"/>
          <w:szCs w:val="36"/>
          <w:lang w:val="en-GB"/>
        </w:rPr>
      </w:pPr>
      <w:r w:rsidRPr="00A86EE5">
        <w:rPr>
          <w:b/>
          <w:bCs/>
          <w:color w:val="000000" w:themeColor="text1"/>
          <w:sz w:val="36"/>
          <w:szCs w:val="36"/>
          <w:lang w:val="en-GB"/>
        </w:rPr>
        <w:t xml:space="preserve">3. </w:t>
      </w:r>
      <w:r w:rsidR="008649E5" w:rsidRPr="00A86EE5">
        <w:rPr>
          <w:b/>
          <w:bCs/>
          <w:color w:val="000000" w:themeColor="text1"/>
          <w:sz w:val="36"/>
          <w:szCs w:val="36"/>
          <w:lang w:val="en-GB"/>
        </w:rPr>
        <w:t>What the Norms and Standards Require at Your Centre</w:t>
      </w:r>
    </w:p>
    <w:p w14:paraId="0D620568" w14:textId="750E8AA0" w:rsidR="00E940D2" w:rsidRPr="00A56CB4" w:rsidRDefault="00E940D2" w:rsidP="00A56CB4">
      <w:pPr>
        <w:spacing w:before="60" w:after="100"/>
        <w:jc w:val="both"/>
        <w:rPr>
          <w:sz w:val="22"/>
          <w:szCs w:val="22"/>
          <w:lang w:val="en-GB"/>
        </w:rPr>
      </w:pPr>
      <w:r w:rsidRPr="00A56CB4">
        <w:rPr>
          <w:rFonts w:ascii="Arial" w:eastAsia="Arial" w:hAnsi="Arial" w:cs="Arial"/>
          <w:color w:val="1A1A1A"/>
          <w:sz w:val="22"/>
          <w:szCs w:val="22"/>
          <w:lang w:val="en-GB"/>
        </w:rPr>
        <w:t>The 2025 NEHNS sets out the minimum health and safety requirements for ECD centres. These are the standards the EHP checks during a site visit. At the Silver Registration stage, the focus is on whether basic health and safety conditions are in place, rather than full compliance with every infrastructure requirement. Full compliance is what Gold Registration requires. For now, the question is whether conditions are safe enough for children.</w:t>
      </w:r>
    </w:p>
    <w:p w14:paraId="453880DA" w14:textId="15DE308F" w:rsidR="00E940D2" w:rsidRPr="00A56CB4" w:rsidRDefault="00E940D2" w:rsidP="00E940D2">
      <w:pPr>
        <w:shd w:val="clear" w:color="auto" w:fill="C8960C"/>
        <w:spacing w:before="180"/>
        <w:ind w:left="140" w:right="140"/>
        <w:rPr>
          <w:sz w:val="22"/>
          <w:szCs w:val="22"/>
          <w:lang w:val="en-GB"/>
        </w:rPr>
      </w:pPr>
      <w:r w:rsidRPr="00A56CB4">
        <w:rPr>
          <w:rFonts w:ascii="Arial" w:eastAsia="Arial" w:hAnsi="Arial" w:cs="Arial"/>
          <w:b/>
          <w:bCs/>
          <w:color w:val="1A1A1A"/>
          <w:sz w:val="22"/>
          <w:szCs w:val="22"/>
          <w:lang w:val="en-GB"/>
        </w:rPr>
        <w:t>Water</w:t>
      </w:r>
    </w:p>
    <w:p w14:paraId="23B3FBE5"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 xml:space="preserve">Safe drinking water must </w:t>
      </w:r>
      <w:proofErr w:type="gramStart"/>
      <w:r w:rsidRPr="00A56CB4">
        <w:rPr>
          <w:rFonts w:ascii="Arial" w:eastAsia="Arial" w:hAnsi="Arial" w:cs="Arial"/>
          <w:color w:val="1A1A1A"/>
          <w:sz w:val="22"/>
          <w:szCs w:val="22"/>
          <w:lang w:val="en-GB"/>
        </w:rPr>
        <w:t>be available at all times</w:t>
      </w:r>
      <w:proofErr w:type="gramEnd"/>
      <w:r w:rsidRPr="00A56CB4">
        <w:rPr>
          <w:rFonts w:ascii="Arial" w:eastAsia="Arial" w:hAnsi="Arial" w:cs="Arial"/>
          <w:color w:val="1A1A1A"/>
          <w:sz w:val="22"/>
          <w:szCs w:val="22"/>
          <w:lang w:val="en-GB"/>
        </w:rPr>
        <w:t>.</w:t>
      </w:r>
    </w:p>
    <w:p w14:paraId="270CAF48" w14:textId="23D3F802"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Where water is stored, it must be in clean, covered, narrow-opening containers, protected from dust, animals, and flies.</w:t>
      </w:r>
    </w:p>
    <w:p w14:paraId="094C6708" w14:textId="12D89A37" w:rsidR="00E940D2" w:rsidRPr="00A56CB4" w:rsidRDefault="00E940D2" w:rsidP="00E940D2">
      <w:pPr>
        <w:shd w:val="clear" w:color="auto" w:fill="C8960C"/>
        <w:spacing w:before="180"/>
        <w:ind w:left="140" w:right="140"/>
        <w:rPr>
          <w:sz w:val="22"/>
          <w:szCs w:val="22"/>
          <w:lang w:val="en-GB"/>
        </w:rPr>
      </w:pPr>
      <w:r w:rsidRPr="00A56CB4">
        <w:rPr>
          <w:rFonts w:ascii="Arial" w:eastAsia="Arial" w:hAnsi="Arial" w:cs="Arial"/>
          <w:b/>
          <w:bCs/>
          <w:color w:val="1A1A1A"/>
          <w:sz w:val="22"/>
          <w:szCs w:val="22"/>
          <w:lang w:val="en-GB"/>
        </w:rPr>
        <w:t>Toilets</w:t>
      </w:r>
    </w:p>
    <w:p w14:paraId="531957C0"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At least 1 toilet for every 20-30 children. Child-appropriate, well-lit, ventilated, and always clean.</w:t>
      </w:r>
    </w:p>
    <w:p w14:paraId="0E484349"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Where pit toilets are used, they must be at least 200 m from any habitable facility and constructed safely for children.</w:t>
      </w:r>
    </w:p>
    <w:p w14:paraId="0549F588"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Potties for children aged 0-2 years only. At least 1 potty per 5 children. Excreta emptied hygienically; potties washed and disinfected after each use.</w:t>
      </w:r>
    </w:p>
    <w:p w14:paraId="6865B011" w14:textId="27361712"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A dedicated nappy-changing area with an easily cleanable waterproof surface, located away from the food preparation area.</w:t>
      </w:r>
    </w:p>
    <w:p w14:paraId="19397369" w14:textId="1AA0E9FA" w:rsidR="00E940D2" w:rsidRPr="00A56CB4" w:rsidRDefault="00E940D2" w:rsidP="00E940D2">
      <w:pPr>
        <w:shd w:val="clear" w:color="auto" w:fill="C8960C"/>
        <w:spacing w:before="180"/>
        <w:ind w:left="140" w:right="140"/>
        <w:rPr>
          <w:sz w:val="22"/>
          <w:szCs w:val="22"/>
          <w:lang w:val="en-GB"/>
        </w:rPr>
      </w:pPr>
      <w:r w:rsidRPr="00A56CB4">
        <w:rPr>
          <w:rFonts w:ascii="Arial" w:eastAsia="Arial" w:hAnsi="Arial" w:cs="Arial"/>
          <w:b/>
          <w:bCs/>
          <w:color w:val="1A1A1A"/>
          <w:sz w:val="22"/>
          <w:szCs w:val="22"/>
          <w:lang w:val="en-GB"/>
        </w:rPr>
        <w:t>Hygiene</w:t>
      </w:r>
    </w:p>
    <w:p w14:paraId="4C0D4F1F"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 xml:space="preserve">At least 1 handwashing basin per 20-30 children, with running water and soap. Where running water is unavailable, portable stations or </w:t>
      </w:r>
      <w:proofErr w:type="gramStart"/>
      <w:r w:rsidRPr="00A56CB4">
        <w:rPr>
          <w:rFonts w:ascii="Arial" w:eastAsia="Arial" w:hAnsi="Arial" w:cs="Arial"/>
          <w:color w:val="1A1A1A"/>
          <w:sz w:val="22"/>
          <w:szCs w:val="22"/>
          <w:lang w:val="en-GB"/>
        </w:rPr>
        <w:t>tippy-taps</w:t>
      </w:r>
      <w:proofErr w:type="gramEnd"/>
      <w:r w:rsidRPr="00A56CB4">
        <w:rPr>
          <w:rFonts w:ascii="Arial" w:eastAsia="Arial" w:hAnsi="Arial" w:cs="Arial"/>
          <w:color w:val="1A1A1A"/>
          <w:sz w:val="22"/>
          <w:szCs w:val="22"/>
          <w:lang w:val="en-GB"/>
        </w:rPr>
        <w:t xml:space="preserve"> are acceptable.</w:t>
      </w:r>
    </w:p>
    <w:p w14:paraId="35A13925"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Handwashing facilities must be near the toilet and in the food preparation area.</w:t>
      </w:r>
    </w:p>
    <w:p w14:paraId="54A2F702" w14:textId="614900F2"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Alcohol-based hand sanitiser must be available for when the water supply fails or is interrupted.</w:t>
      </w:r>
    </w:p>
    <w:p w14:paraId="7365C09B" w14:textId="07F98A89" w:rsidR="00E940D2" w:rsidRPr="00A56CB4" w:rsidRDefault="00E940D2" w:rsidP="00E940D2">
      <w:pPr>
        <w:shd w:val="clear" w:color="auto" w:fill="C8960C"/>
        <w:spacing w:before="180"/>
        <w:ind w:left="140" w:right="140"/>
        <w:rPr>
          <w:sz w:val="22"/>
          <w:szCs w:val="22"/>
          <w:lang w:val="en-GB"/>
        </w:rPr>
      </w:pPr>
      <w:r w:rsidRPr="00A56CB4">
        <w:rPr>
          <w:rFonts w:ascii="Arial" w:eastAsia="Arial" w:hAnsi="Arial" w:cs="Arial"/>
          <w:b/>
          <w:bCs/>
          <w:color w:val="1A1A1A"/>
          <w:sz w:val="22"/>
          <w:szCs w:val="22"/>
          <w:lang w:val="en-GB"/>
        </w:rPr>
        <w:t>Structure and Space</w:t>
      </w:r>
    </w:p>
    <w:p w14:paraId="219B0048"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 xml:space="preserve">The yard must be enclosed and </w:t>
      </w:r>
      <w:proofErr w:type="gramStart"/>
      <w:r w:rsidRPr="00A56CB4">
        <w:rPr>
          <w:rFonts w:ascii="Arial" w:eastAsia="Arial" w:hAnsi="Arial" w:cs="Arial"/>
          <w:color w:val="1A1A1A"/>
          <w:sz w:val="22"/>
          <w:szCs w:val="22"/>
          <w:lang w:val="en-GB"/>
        </w:rPr>
        <w:t>access-controlled</w:t>
      </w:r>
      <w:proofErr w:type="gramEnd"/>
      <w:r w:rsidRPr="00A56CB4">
        <w:rPr>
          <w:rFonts w:ascii="Arial" w:eastAsia="Arial" w:hAnsi="Arial" w:cs="Arial"/>
          <w:color w:val="1A1A1A"/>
          <w:sz w:val="22"/>
          <w:szCs w:val="22"/>
          <w:lang w:val="en-GB"/>
        </w:rPr>
        <w:t>. Where children in wheelchairs are cared for, ramps and rails must be provided.</w:t>
      </w:r>
    </w:p>
    <w:p w14:paraId="52669B4E"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Indoor and outdoor spaces must be protected from wind, rain, and sun.</w:t>
      </w:r>
    </w:p>
    <w:p w14:paraId="4560CE4F"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Indoor play area: at least 1 to 1.5 m² of free unobstructed floor space per child. Floors smooth and cleanable. Roof dust-proof.</w:t>
      </w:r>
    </w:p>
    <w:p w14:paraId="2DD797C6"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Indoor equipment must be free from sharp edges, loose nails, rust, slippery surfaces, or any condition that could injure a child.</w:t>
      </w:r>
    </w:p>
    <w:p w14:paraId="189A3415" w14:textId="03060DB4"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Outdoor play area safe and free from hazards. Equipment stable and free from sharp or dangerous features.</w:t>
      </w:r>
    </w:p>
    <w:p w14:paraId="3F2C2A3B" w14:textId="1A48705C" w:rsidR="00E940D2" w:rsidRPr="00A56CB4" w:rsidRDefault="00E940D2" w:rsidP="00E940D2">
      <w:pPr>
        <w:shd w:val="clear" w:color="auto" w:fill="C8960C"/>
        <w:spacing w:before="180"/>
        <w:ind w:left="140" w:right="140"/>
        <w:rPr>
          <w:sz w:val="22"/>
          <w:szCs w:val="22"/>
          <w:lang w:val="en-GB"/>
        </w:rPr>
      </w:pPr>
      <w:r w:rsidRPr="00A56CB4">
        <w:rPr>
          <w:rFonts w:ascii="Arial" w:eastAsia="Arial" w:hAnsi="Arial" w:cs="Arial"/>
          <w:b/>
          <w:bCs/>
          <w:color w:val="1A1A1A"/>
          <w:sz w:val="22"/>
          <w:szCs w:val="22"/>
          <w:lang w:val="en-GB"/>
        </w:rPr>
        <w:t>General Safety</w:t>
      </w:r>
    </w:p>
    <w:p w14:paraId="1C5CF752"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lastRenderedPageBreak/>
        <w:t>Sleeping mattresses or cots adequately spaced so caregivers can monitor children.</w:t>
      </w:r>
    </w:p>
    <w:p w14:paraId="3588CF1E"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Children protected from fire, burns, injuries, fumes, gases, poisonous substances, animals, offensive smells, choking, and drowning hazards.</w:t>
      </w:r>
    </w:p>
    <w:p w14:paraId="5C7E92EE"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Premises free from pests, stagnant water, litter, long grass, and dangerous waste. Waste bins provided.</w:t>
      </w:r>
    </w:p>
    <w:p w14:paraId="2FC582C6" w14:textId="4D30C1B2"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Artificial grass and sandpits regularly cleaned and hygienically maintained.</w:t>
      </w:r>
    </w:p>
    <w:p w14:paraId="1851124C" w14:textId="6283A1DA" w:rsidR="00E940D2" w:rsidRPr="00A56CB4" w:rsidRDefault="00E940D2" w:rsidP="00E940D2">
      <w:pPr>
        <w:shd w:val="clear" w:color="auto" w:fill="C8960C"/>
        <w:spacing w:before="180"/>
        <w:ind w:left="140" w:right="140"/>
        <w:rPr>
          <w:sz w:val="22"/>
          <w:szCs w:val="22"/>
          <w:lang w:val="en-GB"/>
        </w:rPr>
      </w:pPr>
      <w:r w:rsidRPr="00A56CB4">
        <w:rPr>
          <w:rFonts w:ascii="Arial" w:eastAsia="Arial" w:hAnsi="Arial" w:cs="Arial"/>
          <w:b/>
          <w:bCs/>
          <w:color w:val="1A1A1A"/>
          <w:sz w:val="22"/>
          <w:szCs w:val="22"/>
          <w:lang w:val="en-GB"/>
        </w:rPr>
        <w:t>When a Child Is Sick</w:t>
      </w:r>
    </w:p>
    <w:p w14:paraId="79379FE2"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Sick children must be separated from others. An isolation area must be provided where possible.</w:t>
      </w:r>
    </w:p>
    <w:p w14:paraId="65FD9CBB"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Where a communicable disease is suspected, the centre must immediately notify the parent, the EHP, or the nearest health facility.</w:t>
      </w:r>
    </w:p>
    <w:p w14:paraId="4D72A6E5"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 xml:space="preserve">Basic medical records for each child must be </w:t>
      </w:r>
      <w:proofErr w:type="gramStart"/>
      <w:r w:rsidRPr="00A56CB4">
        <w:rPr>
          <w:rFonts w:ascii="Arial" w:eastAsia="Arial" w:hAnsi="Arial" w:cs="Arial"/>
          <w:color w:val="1A1A1A"/>
          <w:sz w:val="22"/>
          <w:szCs w:val="22"/>
          <w:lang w:val="en-GB"/>
        </w:rPr>
        <w:t>kept:</w:t>
      </w:r>
      <w:proofErr w:type="gramEnd"/>
      <w:r w:rsidRPr="00A56CB4">
        <w:rPr>
          <w:rFonts w:ascii="Arial" w:eastAsia="Arial" w:hAnsi="Arial" w:cs="Arial"/>
          <w:color w:val="1A1A1A"/>
          <w:sz w:val="22"/>
          <w:szCs w:val="22"/>
          <w:lang w:val="en-GB"/>
        </w:rPr>
        <w:t xml:space="preserve"> allergies and immunisation status.</w:t>
      </w:r>
    </w:p>
    <w:p w14:paraId="42798DC9"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Emergency telephone numbers must be accessible on the premises: fire, ambulance, clinic, hospital, doctor, police.</w:t>
      </w:r>
    </w:p>
    <w:p w14:paraId="4C4135C1"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Disposable gloves and disinfectants must be available. All treatment areas disinfected immediately after use.</w:t>
      </w:r>
    </w:p>
    <w:p w14:paraId="3C45A0EC" w14:textId="4ADFC2FD"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A basic first aid kit must be on the premises. Medicines and dangerous substances locked and out of reach of children.</w:t>
      </w:r>
    </w:p>
    <w:p w14:paraId="3ECC265E" w14:textId="05484A57" w:rsidR="00E940D2" w:rsidRPr="00A56CB4" w:rsidRDefault="00E940D2" w:rsidP="00E940D2">
      <w:pPr>
        <w:shd w:val="clear" w:color="auto" w:fill="C8960C"/>
        <w:spacing w:before="180"/>
        <w:ind w:left="140" w:right="140"/>
        <w:rPr>
          <w:sz w:val="22"/>
          <w:szCs w:val="22"/>
          <w:lang w:val="en-GB"/>
        </w:rPr>
      </w:pPr>
      <w:r w:rsidRPr="00A56CB4">
        <w:rPr>
          <w:rFonts w:ascii="Arial" w:eastAsia="Arial" w:hAnsi="Arial" w:cs="Arial"/>
          <w:b/>
          <w:bCs/>
          <w:color w:val="1A1A1A"/>
          <w:sz w:val="22"/>
          <w:szCs w:val="22"/>
          <w:lang w:val="en-GB"/>
        </w:rPr>
        <w:t>Food Preparation</w:t>
      </w:r>
    </w:p>
    <w:p w14:paraId="38E8AEB4"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 xml:space="preserve">A dedicated food preparation area must be </w:t>
      </w:r>
      <w:proofErr w:type="gramStart"/>
      <w:r w:rsidRPr="00A56CB4">
        <w:rPr>
          <w:rFonts w:ascii="Arial" w:eastAsia="Arial" w:hAnsi="Arial" w:cs="Arial"/>
          <w:color w:val="1A1A1A"/>
          <w:sz w:val="22"/>
          <w:szCs w:val="22"/>
          <w:lang w:val="en-GB"/>
        </w:rPr>
        <w:t>provided and kept clean at all times</w:t>
      </w:r>
      <w:proofErr w:type="gramEnd"/>
      <w:r w:rsidRPr="00A56CB4">
        <w:rPr>
          <w:rFonts w:ascii="Arial" w:eastAsia="Arial" w:hAnsi="Arial" w:cs="Arial"/>
          <w:color w:val="1A1A1A"/>
          <w:sz w:val="22"/>
          <w:szCs w:val="22"/>
          <w:lang w:val="en-GB"/>
        </w:rPr>
        <w:t>.</w:t>
      </w:r>
    </w:p>
    <w:p w14:paraId="5182FEF7"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Refrigeration and storage facilities must be available.</w:t>
      </w:r>
    </w:p>
    <w:p w14:paraId="297C1FD3"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Handwashing and utensil-washing facilities must always be functional in the food area.</w:t>
      </w:r>
    </w:p>
    <w:p w14:paraId="19DDB02E" w14:textId="77777777" w:rsidR="00E940D2" w:rsidRPr="00A56CB4" w:rsidRDefault="00E940D2" w:rsidP="00E940D2">
      <w:pPr>
        <w:pStyle w:val="ListParagraph"/>
        <w:numPr>
          <w:ilvl w:val="0"/>
          <w:numId w:val="2"/>
        </w:numPr>
        <w:spacing w:before="50" w:after="50" w:line="240" w:lineRule="auto"/>
        <w:contextualSpacing w:val="0"/>
        <w:rPr>
          <w:sz w:val="22"/>
          <w:szCs w:val="22"/>
          <w:lang w:val="en-GB"/>
        </w:rPr>
      </w:pPr>
      <w:r w:rsidRPr="00A56CB4">
        <w:rPr>
          <w:rFonts w:ascii="Arial" w:eastAsia="Arial" w:hAnsi="Arial" w:cs="Arial"/>
          <w:color w:val="1A1A1A"/>
          <w:sz w:val="22"/>
          <w:szCs w:val="22"/>
          <w:lang w:val="en-GB"/>
        </w:rPr>
        <w:t>Floors and walls in the food preparation area must have a smooth, easily cleanable finish.</w:t>
      </w:r>
    </w:p>
    <w:p w14:paraId="19DCFEFD" w14:textId="77777777" w:rsidR="00BF7D20" w:rsidRPr="00A56CB4" w:rsidRDefault="00BF7D20" w:rsidP="002B7E3D">
      <w:pPr>
        <w:rPr>
          <w:b/>
          <w:bCs/>
          <w:lang w:val="en-GB"/>
        </w:rPr>
      </w:pPr>
    </w:p>
    <w:p w14:paraId="075B25F5" w14:textId="21DB3980" w:rsidR="00E940D2" w:rsidRPr="00A86EE5" w:rsidRDefault="00E940D2" w:rsidP="00A86EE5">
      <w:pPr>
        <w:pStyle w:val="Heading1"/>
        <w:rPr>
          <w:b/>
          <w:bCs/>
          <w:color w:val="000000" w:themeColor="text1"/>
          <w:sz w:val="36"/>
          <w:szCs w:val="36"/>
          <w:lang w:val="en-GB"/>
        </w:rPr>
      </w:pPr>
      <w:r w:rsidRPr="00A86EE5">
        <w:rPr>
          <w:b/>
          <w:bCs/>
          <w:color w:val="000000" w:themeColor="text1"/>
          <w:sz w:val="36"/>
          <w:szCs w:val="36"/>
          <w:lang w:val="en-GB"/>
        </w:rPr>
        <w:t>4. Understanding the Report: What the Three Outcomes Mean</w:t>
      </w:r>
    </w:p>
    <w:p w14:paraId="653999B0" w14:textId="49E90BD8" w:rsidR="00E940D2" w:rsidRPr="00A56CB4" w:rsidRDefault="00E940D2" w:rsidP="00A56CB4">
      <w:pPr>
        <w:spacing w:before="60" w:after="100"/>
        <w:jc w:val="both"/>
        <w:rPr>
          <w:lang w:val="en-GB"/>
        </w:rPr>
      </w:pPr>
      <w:r w:rsidRPr="00A56CB4">
        <w:rPr>
          <w:rFonts w:ascii="Arial" w:eastAsia="Arial" w:hAnsi="Arial" w:cs="Arial"/>
          <w:color w:val="1A1A1A"/>
          <w:sz w:val="21"/>
          <w:szCs w:val="21"/>
          <w:lang w:val="en-GB"/>
        </w:rPr>
        <w:t>At the end of every visit, the EHP must assess your centre and record one of three overall findings. Here is what each one means for your programme:</w:t>
      </w:r>
    </w:p>
    <w:tbl>
      <w:tblPr>
        <w:tblW w:w="8760" w:type="dxa"/>
        <w:jc w:val="cente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10" w:type="dxa"/>
          <w:right w:w="10" w:type="dxa"/>
        </w:tblCellMar>
        <w:tblLook w:val="04A0" w:firstRow="1" w:lastRow="0" w:firstColumn="1" w:lastColumn="0" w:noHBand="0" w:noVBand="1"/>
      </w:tblPr>
      <w:tblGrid>
        <w:gridCol w:w="4380"/>
        <w:gridCol w:w="4380"/>
      </w:tblGrid>
      <w:tr w:rsidR="00E940D2" w:rsidRPr="00A56CB4" w14:paraId="1E14AA7A" w14:textId="77777777" w:rsidTr="00EF6933">
        <w:tblPrEx>
          <w:tblCellMar>
            <w:top w:w="0" w:type="dxa"/>
            <w:bottom w:w="0" w:type="dxa"/>
          </w:tblCellMar>
        </w:tblPrEx>
        <w:trPr>
          <w:tblHeader/>
          <w:jc w:val="center"/>
        </w:trPr>
        <w:tc>
          <w:tcPr>
            <w:tcW w:w="4380" w:type="dxa"/>
            <w:shd w:val="clear" w:color="auto" w:fill="1A5C2A"/>
            <w:tcMar>
              <w:top w:w="80" w:type="dxa"/>
              <w:left w:w="130" w:type="dxa"/>
              <w:bottom w:w="80" w:type="dxa"/>
              <w:right w:w="130" w:type="dxa"/>
            </w:tcMar>
          </w:tcPr>
          <w:p w14:paraId="6DC9E733" w14:textId="77777777" w:rsidR="00E940D2" w:rsidRPr="00A56CB4" w:rsidRDefault="00E940D2" w:rsidP="009718BF">
            <w:pPr>
              <w:rPr>
                <w:lang w:val="en-GB"/>
              </w:rPr>
            </w:pPr>
            <w:r w:rsidRPr="00A56CB4">
              <w:rPr>
                <w:rFonts w:ascii="Arial" w:eastAsia="Arial" w:hAnsi="Arial" w:cs="Arial"/>
                <w:b/>
                <w:bCs/>
                <w:color w:val="FFFFFF"/>
                <w:sz w:val="20"/>
                <w:szCs w:val="20"/>
                <w:lang w:val="en-GB"/>
              </w:rPr>
              <w:t>What the EHP writes in the report</w:t>
            </w:r>
          </w:p>
        </w:tc>
        <w:tc>
          <w:tcPr>
            <w:tcW w:w="4380" w:type="dxa"/>
            <w:shd w:val="clear" w:color="auto" w:fill="1A5C2A"/>
            <w:tcMar>
              <w:top w:w="80" w:type="dxa"/>
              <w:left w:w="130" w:type="dxa"/>
              <w:bottom w:w="80" w:type="dxa"/>
              <w:right w:w="130" w:type="dxa"/>
            </w:tcMar>
          </w:tcPr>
          <w:p w14:paraId="75B78FCD" w14:textId="77777777" w:rsidR="00E940D2" w:rsidRPr="00A56CB4" w:rsidRDefault="00E940D2" w:rsidP="009718BF">
            <w:pPr>
              <w:rPr>
                <w:lang w:val="en-GB"/>
              </w:rPr>
            </w:pPr>
            <w:r w:rsidRPr="00A56CB4">
              <w:rPr>
                <w:rFonts w:ascii="Arial" w:eastAsia="Arial" w:hAnsi="Arial" w:cs="Arial"/>
                <w:b/>
                <w:bCs/>
                <w:color w:val="FFFFFF"/>
                <w:sz w:val="20"/>
                <w:szCs w:val="20"/>
                <w:lang w:val="en-GB"/>
              </w:rPr>
              <w:t>What it means for your programme</w:t>
            </w:r>
          </w:p>
        </w:tc>
      </w:tr>
      <w:tr w:rsidR="00E940D2" w:rsidRPr="00A56CB4" w14:paraId="67CC24A0" w14:textId="77777777" w:rsidTr="00EF6933">
        <w:tblPrEx>
          <w:tblCellMar>
            <w:top w:w="0" w:type="dxa"/>
            <w:bottom w:w="0" w:type="dxa"/>
          </w:tblCellMar>
        </w:tblPrEx>
        <w:trPr>
          <w:jc w:val="center"/>
        </w:trPr>
        <w:tc>
          <w:tcPr>
            <w:tcW w:w="4380" w:type="dxa"/>
            <w:shd w:val="clear" w:color="auto" w:fill="F9F9F9"/>
            <w:tcMar>
              <w:top w:w="80" w:type="dxa"/>
              <w:left w:w="130" w:type="dxa"/>
              <w:bottom w:w="80" w:type="dxa"/>
              <w:right w:w="130" w:type="dxa"/>
            </w:tcMar>
          </w:tcPr>
          <w:p w14:paraId="19DCDFAB" w14:textId="77777777" w:rsidR="00E940D2" w:rsidRPr="00A56CB4" w:rsidRDefault="00E940D2" w:rsidP="009718BF">
            <w:pPr>
              <w:rPr>
                <w:lang w:val="en-GB"/>
              </w:rPr>
            </w:pPr>
            <w:r w:rsidRPr="00A56CB4">
              <w:rPr>
                <w:rFonts w:ascii="Arial" w:eastAsia="Arial" w:hAnsi="Arial" w:cs="Arial"/>
                <w:color w:val="1A1A1A"/>
                <w:sz w:val="20"/>
                <w:szCs w:val="20"/>
                <w:lang w:val="en-GB"/>
              </w:rPr>
              <w:t>Centre presents an unacceptable immediate environmental health risk.</w:t>
            </w:r>
          </w:p>
        </w:tc>
        <w:tc>
          <w:tcPr>
            <w:tcW w:w="4380" w:type="dxa"/>
            <w:shd w:val="clear" w:color="auto" w:fill="FDF6E3"/>
            <w:tcMar>
              <w:top w:w="80" w:type="dxa"/>
              <w:left w:w="130" w:type="dxa"/>
              <w:bottom w:w="80" w:type="dxa"/>
              <w:right w:w="130" w:type="dxa"/>
            </w:tcMar>
          </w:tcPr>
          <w:p w14:paraId="497D5253" w14:textId="77777777" w:rsidR="00E940D2" w:rsidRPr="00A56CB4" w:rsidRDefault="00E940D2" w:rsidP="009718BF">
            <w:pPr>
              <w:rPr>
                <w:lang w:val="en-GB"/>
              </w:rPr>
            </w:pPr>
            <w:r w:rsidRPr="00A56CB4">
              <w:rPr>
                <w:rFonts w:ascii="Arial" w:eastAsia="Arial" w:hAnsi="Arial" w:cs="Arial"/>
                <w:color w:val="1A1A1A"/>
                <w:sz w:val="20"/>
                <w:szCs w:val="20"/>
                <w:lang w:val="en-GB"/>
              </w:rPr>
              <w:t>The EHP must act immediately. Your centre cannot proceed until the risk is resolved.</w:t>
            </w:r>
          </w:p>
        </w:tc>
      </w:tr>
      <w:tr w:rsidR="00E940D2" w:rsidRPr="00A56CB4" w14:paraId="0B4F9C94" w14:textId="77777777" w:rsidTr="00EF6933">
        <w:tblPrEx>
          <w:tblCellMar>
            <w:top w:w="0" w:type="dxa"/>
            <w:bottom w:w="0" w:type="dxa"/>
          </w:tblCellMar>
        </w:tblPrEx>
        <w:trPr>
          <w:jc w:val="center"/>
        </w:trPr>
        <w:tc>
          <w:tcPr>
            <w:tcW w:w="4380" w:type="dxa"/>
            <w:shd w:val="clear" w:color="auto" w:fill="EBF3EC"/>
            <w:tcMar>
              <w:top w:w="80" w:type="dxa"/>
              <w:left w:w="130" w:type="dxa"/>
              <w:bottom w:w="80" w:type="dxa"/>
              <w:right w:w="130" w:type="dxa"/>
            </w:tcMar>
          </w:tcPr>
          <w:p w14:paraId="1DA5EC3D" w14:textId="77777777" w:rsidR="00E940D2" w:rsidRPr="00A56CB4" w:rsidRDefault="00E940D2" w:rsidP="009718BF">
            <w:pPr>
              <w:rPr>
                <w:lang w:val="en-GB"/>
              </w:rPr>
            </w:pPr>
            <w:r w:rsidRPr="00A56CB4">
              <w:rPr>
                <w:rFonts w:ascii="Arial" w:eastAsia="Arial" w:hAnsi="Arial" w:cs="Arial"/>
                <w:color w:val="1A1A1A"/>
                <w:sz w:val="20"/>
                <w:szCs w:val="20"/>
                <w:lang w:val="en-GB"/>
              </w:rPr>
              <w:t>Centre may continue with urgent corrective actions and follow-up.</w:t>
            </w:r>
          </w:p>
        </w:tc>
        <w:tc>
          <w:tcPr>
            <w:tcW w:w="4380" w:type="dxa"/>
            <w:shd w:val="clear" w:color="auto" w:fill="EBF3EC"/>
            <w:tcMar>
              <w:top w:w="80" w:type="dxa"/>
              <w:left w:w="130" w:type="dxa"/>
              <w:bottom w:w="80" w:type="dxa"/>
              <w:right w:w="130" w:type="dxa"/>
            </w:tcMar>
          </w:tcPr>
          <w:p w14:paraId="01649909" w14:textId="77777777" w:rsidR="00E940D2" w:rsidRPr="00A56CB4" w:rsidRDefault="00E940D2" w:rsidP="009718BF">
            <w:pPr>
              <w:rPr>
                <w:lang w:val="en-GB"/>
              </w:rPr>
            </w:pPr>
            <w:r w:rsidRPr="00A56CB4">
              <w:rPr>
                <w:rFonts w:ascii="Arial" w:eastAsia="Arial" w:hAnsi="Arial" w:cs="Arial"/>
                <w:color w:val="1A1A1A"/>
                <w:sz w:val="20"/>
                <w:szCs w:val="20"/>
                <w:lang w:val="en-GB"/>
              </w:rPr>
              <w:t>You can keep operating. You must address the listed problems within the timeframe given. The EHP will follow up.</w:t>
            </w:r>
          </w:p>
        </w:tc>
      </w:tr>
      <w:tr w:rsidR="00E940D2" w:rsidRPr="00A56CB4" w14:paraId="27AD3A7D" w14:textId="77777777" w:rsidTr="00EF6933">
        <w:tblPrEx>
          <w:tblCellMar>
            <w:top w:w="0" w:type="dxa"/>
            <w:bottom w:w="0" w:type="dxa"/>
          </w:tblCellMar>
        </w:tblPrEx>
        <w:trPr>
          <w:jc w:val="center"/>
        </w:trPr>
        <w:tc>
          <w:tcPr>
            <w:tcW w:w="4380" w:type="dxa"/>
            <w:shd w:val="clear" w:color="auto" w:fill="F9F9F9"/>
            <w:tcMar>
              <w:top w:w="80" w:type="dxa"/>
              <w:left w:w="130" w:type="dxa"/>
              <w:bottom w:w="80" w:type="dxa"/>
              <w:right w:w="130" w:type="dxa"/>
            </w:tcMar>
          </w:tcPr>
          <w:p w14:paraId="083696FD" w14:textId="77777777" w:rsidR="00E940D2" w:rsidRPr="00A56CB4" w:rsidRDefault="00E940D2" w:rsidP="009718BF">
            <w:pPr>
              <w:rPr>
                <w:lang w:val="en-GB"/>
              </w:rPr>
            </w:pPr>
            <w:r w:rsidRPr="00A56CB4">
              <w:rPr>
                <w:rFonts w:ascii="Arial" w:eastAsia="Arial" w:hAnsi="Arial" w:cs="Arial"/>
                <w:color w:val="1A1A1A"/>
                <w:sz w:val="20"/>
                <w:szCs w:val="20"/>
                <w:lang w:val="en-GB"/>
              </w:rPr>
              <w:t xml:space="preserve">Centre meets essential environmental health conditions for support toward Silver </w:t>
            </w:r>
            <w:r w:rsidRPr="00A56CB4">
              <w:rPr>
                <w:rFonts w:ascii="Arial" w:eastAsia="Arial" w:hAnsi="Arial" w:cs="Arial"/>
                <w:color w:val="1A1A1A"/>
                <w:sz w:val="20"/>
                <w:szCs w:val="20"/>
                <w:lang w:val="en-GB"/>
              </w:rPr>
              <w:lastRenderedPageBreak/>
              <w:t>Registration, subject to the listed improvements.</w:t>
            </w:r>
          </w:p>
        </w:tc>
        <w:tc>
          <w:tcPr>
            <w:tcW w:w="4380" w:type="dxa"/>
            <w:shd w:val="clear" w:color="auto" w:fill="FDF6E3"/>
            <w:tcMar>
              <w:top w:w="80" w:type="dxa"/>
              <w:left w:w="130" w:type="dxa"/>
              <w:bottom w:w="80" w:type="dxa"/>
              <w:right w:w="130" w:type="dxa"/>
            </w:tcMar>
          </w:tcPr>
          <w:p w14:paraId="314B0FE3" w14:textId="77777777" w:rsidR="00E940D2" w:rsidRPr="00A56CB4" w:rsidRDefault="00E940D2" w:rsidP="009718BF">
            <w:pPr>
              <w:rPr>
                <w:lang w:val="en-GB"/>
              </w:rPr>
            </w:pPr>
            <w:r w:rsidRPr="00A56CB4">
              <w:rPr>
                <w:rFonts w:ascii="Arial" w:eastAsia="Arial" w:hAnsi="Arial" w:cs="Arial"/>
                <w:color w:val="1A1A1A"/>
                <w:sz w:val="20"/>
                <w:szCs w:val="20"/>
                <w:lang w:val="en-GB"/>
              </w:rPr>
              <w:lastRenderedPageBreak/>
              <w:t>Your centre can move forward in the registration process. You still need to work through the improvements listed in the report.</w:t>
            </w:r>
          </w:p>
        </w:tc>
      </w:tr>
    </w:tbl>
    <w:p w14:paraId="3BA9A663" w14:textId="77777777" w:rsidR="00E940D2" w:rsidRPr="00A56CB4" w:rsidRDefault="00E940D2" w:rsidP="00E940D2">
      <w:pPr>
        <w:spacing w:after="100"/>
        <w:rPr>
          <w:lang w:val="en-GB"/>
        </w:rPr>
      </w:pPr>
    </w:p>
    <w:p w14:paraId="76610568" w14:textId="77777777" w:rsidR="00E940D2" w:rsidRPr="00A56CB4" w:rsidRDefault="00E940D2" w:rsidP="00E940D2">
      <w:pPr>
        <w:spacing w:before="60" w:after="100"/>
        <w:jc w:val="both"/>
        <w:rPr>
          <w:lang w:val="en-GB"/>
        </w:rPr>
      </w:pPr>
      <w:r w:rsidRPr="00A56CB4">
        <w:rPr>
          <w:rFonts w:ascii="Arial" w:eastAsia="Arial" w:hAnsi="Arial" w:cs="Arial"/>
          <w:color w:val="1A1A1A"/>
          <w:sz w:val="21"/>
          <w:szCs w:val="21"/>
          <w:lang w:val="en-GB"/>
        </w:rPr>
        <w:t>Whatever the outcome, the report must be specific. A report that says only “non-compliant” without explanation is not a valid report. You are entitled to know exactly what was found, how each finding is classified, and what specific steps are needed. If a report does not tell you this, ask the EHP to explain and to put it in writing.</w:t>
      </w:r>
    </w:p>
    <w:p w14:paraId="03195C6C" w14:textId="77777777" w:rsidR="00E940D2" w:rsidRPr="00A56CB4" w:rsidRDefault="00E940D2" w:rsidP="00E940D2">
      <w:pPr>
        <w:spacing w:after="80"/>
        <w:rPr>
          <w:lang w:val="en-GB"/>
        </w:rPr>
      </w:pPr>
    </w:p>
    <w:tbl>
      <w:tblPr>
        <w:tblStyle w:val="TableGrid"/>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shd w:val="clear" w:color="auto" w:fill="B3E5A1" w:themeFill="accent6" w:themeFillTint="66"/>
        <w:tblLook w:val="04A0" w:firstRow="1" w:lastRow="0" w:firstColumn="1" w:lastColumn="0" w:noHBand="0" w:noVBand="1"/>
      </w:tblPr>
      <w:tblGrid>
        <w:gridCol w:w="9300"/>
      </w:tblGrid>
      <w:tr w:rsidR="00E940D2" w:rsidRPr="00A56CB4" w14:paraId="0961061E" w14:textId="77777777" w:rsidTr="00A56CB4">
        <w:tc>
          <w:tcPr>
            <w:tcW w:w="9350" w:type="dxa"/>
            <w:shd w:val="clear" w:color="auto" w:fill="B3E5A1" w:themeFill="accent6" w:themeFillTint="66"/>
          </w:tcPr>
          <w:p w14:paraId="73BA9C65" w14:textId="77777777" w:rsidR="00E940D2" w:rsidRPr="00A56CB4" w:rsidRDefault="00E940D2" w:rsidP="002B7E3D">
            <w:pPr>
              <w:rPr>
                <w:rFonts w:ascii="Arial" w:eastAsia="Arial" w:hAnsi="Arial" w:cs="Arial"/>
                <w:color w:val="1A1A1A"/>
                <w:sz w:val="21"/>
                <w:szCs w:val="21"/>
                <w:lang w:val="en-GB"/>
              </w:rPr>
            </w:pPr>
          </w:p>
          <w:p w14:paraId="6FF1175B" w14:textId="0F1A0190" w:rsidR="00E940D2" w:rsidRPr="00A56CB4" w:rsidRDefault="00E940D2" w:rsidP="002B7E3D">
            <w:pPr>
              <w:rPr>
                <w:rFonts w:ascii="Arial" w:eastAsia="Arial" w:hAnsi="Arial" w:cs="Arial"/>
                <w:color w:val="1A1A1A"/>
                <w:sz w:val="21"/>
                <w:szCs w:val="21"/>
                <w:lang w:val="en-GB"/>
              </w:rPr>
            </w:pPr>
            <w:r w:rsidRPr="00A56CB4">
              <w:rPr>
                <w:rFonts w:ascii="Arial" w:eastAsia="Arial" w:hAnsi="Arial" w:cs="Arial"/>
                <w:color w:val="1A1A1A"/>
                <w:sz w:val="21"/>
                <w:szCs w:val="21"/>
                <w:lang w:val="en-GB"/>
              </w:rPr>
              <w:t>The EHP inspection report is part of your official Silver Registration application. It is submitted to the DBE alongside the social worker assessment. The DBE uses both documents to decide whether your centre can proceed in the registration process. A clear, specific report with a positive overall assessment is one of the most important things you can have in your application file.</w:t>
            </w:r>
          </w:p>
          <w:p w14:paraId="7B0852E5" w14:textId="565D7CF1" w:rsidR="00E940D2" w:rsidRPr="00A56CB4" w:rsidRDefault="00E940D2" w:rsidP="002B7E3D">
            <w:pPr>
              <w:rPr>
                <w:b/>
                <w:bCs/>
                <w:lang w:val="en-GB"/>
              </w:rPr>
            </w:pPr>
          </w:p>
        </w:tc>
      </w:tr>
    </w:tbl>
    <w:p w14:paraId="28251231" w14:textId="77777777" w:rsidR="00E940D2" w:rsidRPr="00A56CB4" w:rsidRDefault="00E940D2" w:rsidP="002B7E3D">
      <w:pPr>
        <w:rPr>
          <w:b/>
          <w:bCs/>
          <w:lang w:val="en-GB"/>
        </w:rPr>
      </w:pPr>
    </w:p>
    <w:p w14:paraId="4747E84B" w14:textId="77777777" w:rsidR="00E940D2" w:rsidRPr="00A56CB4" w:rsidRDefault="00E940D2" w:rsidP="00E940D2">
      <w:pPr>
        <w:spacing w:before="60" w:after="100"/>
        <w:jc w:val="both"/>
        <w:rPr>
          <w:lang w:val="en-GB"/>
        </w:rPr>
      </w:pPr>
      <w:r w:rsidRPr="00A56CB4">
        <w:rPr>
          <w:rFonts w:ascii="Arial" w:eastAsia="Arial" w:hAnsi="Arial" w:cs="Arial"/>
          <w:color w:val="1A1A1A"/>
          <w:sz w:val="21"/>
          <w:szCs w:val="21"/>
          <w:lang w:val="en-GB"/>
        </w:rPr>
        <w:t>The EHP visit exists to support your programme, not to close it down. Shutting a centre down may leave children exposed to greater danger if parents and carers have no alternative. The goal of every EHP visit is a safer environment for the children in your care. Where serious risks exist, they must be addressed. Where risks are manageable, they should be addressed progressively. That is what the developmental approach means in practice.</w:t>
      </w:r>
    </w:p>
    <w:p w14:paraId="0BE0B9E3" w14:textId="77777777" w:rsidR="00E940D2" w:rsidRPr="00A56CB4" w:rsidRDefault="00E940D2" w:rsidP="002B7E3D">
      <w:pPr>
        <w:rPr>
          <w:b/>
          <w:bCs/>
          <w:lang w:val="en-GB"/>
        </w:rPr>
      </w:pPr>
    </w:p>
    <w:sectPr w:rsidR="00E940D2" w:rsidRPr="00A56CB4" w:rsidSect="00A56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34281"/>
    <w:multiLevelType w:val="hybridMultilevel"/>
    <w:tmpl w:val="0A44288A"/>
    <w:lvl w:ilvl="0" w:tplc="B25049FA">
      <w:start w:val="1"/>
      <w:numFmt w:val="bullet"/>
      <w:lvlText w:val="•"/>
      <w:lvlJc w:val="left"/>
      <w:pPr>
        <w:ind w:left="500" w:hanging="260"/>
      </w:pPr>
    </w:lvl>
    <w:lvl w:ilvl="1" w:tplc="5748F9F8">
      <w:numFmt w:val="decimal"/>
      <w:lvlText w:val=""/>
      <w:lvlJc w:val="left"/>
    </w:lvl>
    <w:lvl w:ilvl="2" w:tplc="23A6F25C">
      <w:numFmt w:val="decimal"/>
      <w:lvlText w:val=""/>
      <w:lvlJc w:val="left"/>
    </w:lvl>
    <w:lvl w:ilvl="3" w:tplc="5014866A">
      <w:numFmt w:val="decimal"/>
      <w:lvlText w:val=""/>
      <w:lvlJc w:val="left"/>
    </w:lvl>
    <w:lvl w:ilvl="4" w:tplc="1D9C3464">
      <w:numFmt w:val="decimal"/>
      <w:lvlText w:val=""/>
      <w:lvlJc w:val="left"/>
    </w:lvl>
    <w:lvl w:ilvl="5" w:tplc="30861106">
      <w:numFmt w:val="decimal"/>
      <w:lvlText w:val=""/>
      <w:lvlJc w:val="left"/>
    </w:lvl>
    <w:lvl w:ilvl="6" w:tplc="6D98F8CA">
      <w:numFmt w:val="decimal"/>
      <w:lvlText w:val=""/>
      <w:lvlJc w:val="left"/>
    </w:lvl>
    <w:lvl w:ilvl="7" w:tplc="FAC61B28">
      <w:numFmt w:val="decimal"/>
      <w:lvlText w:val=""/>
      <w:lvlJc w:val="left"/>
    </w:lvl>
    <w:lvl w:ilvl="8" w:tplc="52F28C2E">
      <w:numFmt w:val="decimal"/>
      <w:lvlText w:val=""/>
      <w:lvlJc w:val="left"/>
    </w:lvl>
  </w:abstractNum>
  <w:abstractNum w:abstractNumId="1" w15:restartNumberingAfterBreak="0">
    <w:nsid w:val="6FE316F9"/>
    <w:multiLevelType w:val="hybridMultilevel"/>
    <w:tmpl w:val="E9529CAE"/>
    <w:lvl w:ilvl="0" w:tplc="7C3CB1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5B3B41"/>
    <w:multiLevelType w:val="hybridMultilevel"/>
    <w:tmpl w:val="D1DA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541334">
    <w:abstractNumId w:val="2"/>
  </w:num>
  <w:num w:numId="2" w16cid:durableId="1799031460">
    <w:abstractNumId w:val="0"/>
    <w:lvlOverride w:ilvl="0">
      <w:startOverride w:val="1"/>
    </w:lvlOverride>
  </w:num>
  <w:num w:numId="3" w16cid:durableId="41408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3D"/>
    <w:rsid w:val="002B7E3D"/>
    <w:rsid w:val="004E3C83"/>
    <w:rsid w:val="00665AA9"/>
    <w:rsid w:val="0081152F"/>
    <w:rsid w:val="008649E5"/>
    <w:rsid w:val="009C31B2"/>
    <w:rsid w:val="00A0092E"/>
    <w:rsid w:val="00A56CB4"/>
    <w:rsid w:val="00A86EE5"/>
    <w:rsid w:val="00BF7D20"/>
    <w:rsid w:val="00C84F17"/>
    <w:rsid w:val="00E940D2"/>
    <w:rsid w:val="00EF6933"/>
    <w:rsid w:val="00F4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840C6"/>
  <w15:chartTrackingRefBased/>
  <w15:docId w15:val="{D21E3DA9-C341-184F-8B31-0FC7119F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E3D"/>
    <w:rPr>
      <w:rFonts w:eastAsiaTheme="majorEastAsia" w:cstheme="majorBidi"/>
      <w:color w:val="272727" w:themeColor="text1" w:themeTint="D8"/>
    </w:rPr>
  </w:style>
  <w:style w:type="paragraph" w:styleId="Title">
    <w:name w:val="Title"/>
    <w:basedOn w:val="Normal"/>
    <w:next w:val="Normal"/>
    <w:link w:val="TitleChar"/>
    <w:uiPriority w:val="10"/>
    <w:qFormat/>
    <w:rsid w:val="002B7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E3D"/>
    <w:pPr>
      <w:spacing w:before="160"/>
      <w:jc w:val="center"/>
    </w:pPr>
    <w:rPr>
      <w:i/>
      <w:iCs/>
      <w:color w:val="404040" w:themeColor="text1" w:themeTint="BF"/>
    </w:rPr>
  </w:style>
  <w:style w:type="character" w:customStyle="1" w:styleId="QuoteChar">
    <w:name w:val="Quote Char"/>
    <w:basedOn w:val="DefaultParagraphFont"/>
    <w:link w:val="Quote"/>
    <w:uiPriority w:val="29"/>
    <w:rsid w:val="002B7E3D"/>
    <w:rPr>
      <w:i/>
      <w:iCs/>
      <w:color w:val="404040" w:themeColor="text1" w:themeTint="BF"/>
    </w:rPr>
  </w:style>
  <w:style w:type="paragraph" w:styleId="ListParagraph">
    <w:name w:val="List Paragraph"/>
    <w:basedOn w:val="Normal"/>
    <w:qFormat/>
    <w:rsid w:val="002B7E3D"/>
    <w:pPr>
      <w:ind w:left="720"/>
      <w:contextualSpacing/>
    </w:pPr>
  </w:style>
  <w:style w:type="character" w:styleId="IntenseEmphasis">
    <w:name w:val="Intense Emphasis"/>
    <w:basedOn w:val="DefaultParagraphFont"/>
    <w:uiPriority w:val="21"/>
    <w:qFormat/>
    <w:rsid w:val="002B7E3D"/>
    <w:rPr>
      <w:i/>
      <w:iCs/>
      <w:color w:val="0F4761" w:themeColor="accent1" w:themeShade="BF"/>
    </w:rPr>
  </w:style>
  <w:style w:type="paragraph" w:styleId="IntenseQuote">
    <w:name w:val="Intense Quote"/>
    <w:basedOn w:val="Normal"/>
    <w:next w:val="Normal"/>
    <w:link w:val="IntenseQuoteChar"/>
    <w:uiPriority w:val="30"/>
    <w:qFormat/>
    <w:rsid w:val="002B7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E3D"/>
    <w:rPr>
      <w:i/>
      <w:iCs/>
      <w:color w:val="0F4761" w:themeColor="accent1" w:themeShade="BF"/>
    </w:rPr>
  </w:style>
  <w:style w:type="character" w:styleId="IntenseReference">
    <w:name w:val="Intense Reference"/>
    <w:basedOn w:val="DefaultParagraphFont"/>
    <w:uiPriority w:val="32"/>
    <w:qFormat/>
    <w:rsid w:val="002B7E3D"/>
    <w:rPr>
      <w:b/>
      <w:bCs/>
      <w:smallCaps/>
      <w:color w:val="0F4761" w:themeColor="accent1" w:themeShade="BF"/>
      <w:spacing w:val="5"/>
    </w:rPr>
  </w:style>
  <w:style w:type="table" w:styleId="TableGrid">
    <w:name w:val="Table Grid"/>
    <w:basedOn w:val="TableNormal"/>
    <w:uiPriority w:val="39"/>
    <w:rsid w:val="002B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1614</Words>
  <Characters>8912</Characters>
  <Application>Microsoft Office Word</Application>
  <DocSecurity>0</DocSecurity>
  <Lines>131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Nobukhosi Zulu</dc:creator>
  <cp:keywords/>
  <dc:description/>
  <cp:lastModifiedBy>Nobukhosi Zulu</cp:lastModifiedBy>
  <cp:revision>1</cp:revision>
  <dcterms:created xsi:type="dcterms:W3CDTF">2026-06-22T15:08:00Z</dcterms:created>
  <dcterms:modified xsi:type="dcterms:W3CDTF">2026-06-23T08:25:00Z</dcterms:modified>
</cp:coreProperties>
</file>